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auto"/>
          <w:sz w:val="32"/>
          <w:szCs w:val="32"/>
        </w:rPr>
      </w:pPr>
      <w:bookmarkStart w:id="0" w:name="_GoBack"/>
      <w:r>
        <w:rPr>
          <w:rFonts w:hint="eastAsia" w:ascii="黑体" w:hAnsi="黑体" w:eastAsia="黑体" w:cs="黑体"/>
          <w:bCs/>
          <w:color w:val="auto"/>
          <w:sz w:val="32"/>
          <w:szCs w:val="32"/>
        </w:rPr>
        <w:t>案例一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44"/>
          <w:sz w:val="44"/>
          <w:szCs w:val="44"/>
          <w:shd w:val="clear" w:color="auto" w:fill="FFFFFF"/>
          <w:lang w:val="en-US" w:eastAsia="zh-CN" w:bidi="ar-SA"/>
        </w:rPr>
      </w:pPr>
      <w:r>
        <w:rPr>
          <w:rFonts w:hint="eastAsia" w:ascii="方正小标宋简体" w:hAnsi="方正小标宋简体" w:eastAsia="方正小标宋简体" w:cs="方正小标宋简体"/>
          <w:b w:val="0"/>
          <w:bCs w:val="0"/>
          <w:i w:val="0"/>
          <w:iCs w:val="0"/>
          <w:caps w:val="0"/>
          <w:color w:val="auto"/>
          <w:spacing w:val="0"/>
          <w:kern w:val="44"/>
          <w:sz w:val="44"/>
          <w:szCs w:val="44"/>
          <w:shd w:val="clear" w:color="auto" w:fill="FFFFFF"/>
          <w:lang w:val="en-US" w:eastAsia="zh-CN" w:bidi="ar-SA"/>
        </w:rPr>
        <w:t>东北石油大学原党委副书记、校长刘扬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微软雅黑" w:hAnsi="微软雅黑" w:eastAsia="微软雅黑" w:cs="微软雅黑"/>
          <w:b w:val="0"/>
          <w:bCs w:val="0"/>
          <w:i w:val="0"/>
          <w:iCs w:val="0"/>
          <w:caps w:val="0"/>
          <w:color w:val="auto"/>
          <w:spacing w:val="0"/>
          <w:kern w:val="44"/>
          <w:sz w:val="42"/>
          <w:szCs w:val="42"/>
          <w:shd w:val="clear" w:color="auto" w:fill="FFFFFF"/>
          <w:lang w:val="en-US" w:eastAsia="zh-CN" w:bidi="ar-SA"/>
        </w:rPr>
      </w:pPr>
      <w:r>
        <w:rPr>
          <w:rFonts w:hint="eastAsia" w:ascii="方正小标宋简体" w:hAnsi="方正小标宋简体" w:eastAsia="方正小标宋简体" w:cs="方正小标宋简体"/>
          <w:b w:val="0"/>
          <w:bCs w:val="0"/>
          <w:i w:val="0"/>
          <w:iCs w:val="0"/>
          <w:caps w:val="0"/>
          <w:color w:val="auto"/>
          <w:spacing w:val="0"/>
          <w:kern w:val="44"/>
          <w:sz w:val="44"/>
          <w:szCs w:val="44"/>
          <w:shd w:val="clear" w:color="auto" w:fill="FFFFFF"/>
          <w:lang w:val="en-US" w:eastAsia="zh-CN" w:bidi="ar-SA"/>
        </w:rPr>
        <w:t>被“双开”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楷体_GBK" w:hAnsi="方正楷体_GBK" w:eastAsia="方正楷体_GBK" w:cs="方正楷体_GBK"/>
          <w:b w:val="0"/>
          <w:bCs w:val="0"/>
          <w:i w:val="0"/>
          <w:iCs w:val="0"/>
          <w:caps w:val="0"/>
          <w:color w:val="auto"/>
          <w:spacing w:val="0"/>
          <w:kern w:val="44"/>
          <w:sz w:val="32"/>
          <w:szCs w:val="32"/>
          <w:shd w:val="clear" w:color="auto" w:fill="FFFFFF"/>
          <w:lang w:val="en-US" w:eastAsia="zh-CN" w:bidi="ar-SA"/>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 xml:space="preserve">来源：中央纪委国家监委网站   时间： 2023-04-06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b/>
          <w:bCs/>
          <w:i w:val="0"/>
          <w:iCs w:val="0"/>
          <w:caps w:val="0"/>
          <w:color w:val="auto"/>
          <w:spacing w:val="0"/>
          <w:sz w:val="32"/>
          <w:szCs w:val="32"/>
          <w:shd w:val="clear" w:color="auto" w:fill="FFFFFF"/>
        </w:rPr>
        <w:t>中央纪委国家监委网站讯</w:t>
      </w:r>
      <w:r>
        <w:rPr>
          <w:rFonts w:hint="eastAsia" w:ascii="仿宋" w:hAnsi="仿宋" w:eastAsia="仿宋" w:cs="仿宋"/>
          <w:i w:val="0"/>
          <w:iCs w:val="0"/>
          <w:caps w:val="0"/>
          <w:color w:val="auto"/>
          <w:spacing w:val="0"/>
          <w:sz w:val="32"/>
          <w:szCs w:val="32"/>
          <w:shd w:val="clear" w:color="auto" w:fill="FFFFFF"/>
        </w:rPr>
        <w:t> 据黑龙江省纪委监委消息：日前，经黑龙江省委批准，黑龙江省纪委监委对东北石油大学原党委副书记、校长刘扬严重违纪违法问题进行了立案审查调查。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经查，刘扬违反政治纪律，对抗组织审查；违反中央八项规定精神和廉洁纪律，违规收受礼金；违反组织纪律，不按规定报告个人有关事项，在干部选拔任用等工作中为他人谋取利益并收受钱款；利用职务上的便利以及职权或者地位形成的便利条件，在学生录取、专业调整、职工录用、设备推广等方面为他人谋取利益，非法收受巨额财物，涉嫌受贿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刘扬身为高等院校党员领导干部，丧失理想信念，背离初心使命，无视党纪国法，对党不忠诚、不老实；以权谋私，擅权妄为，甘于被不法商人“围猎”，大肆聚敛钱财，大搞权钱交易，严重破坏教育公平，严重污染所任职高校政治生态，严重损害党的事业和形象。其行为已严重违纪违法，并涉嫌受贿犯罪，且在党的十八大乃至党的十九大后仍不收敛、不收手，应予严肃处理。依据《中国共产党纪律处分条例》《中华人民共和国监察法》《中华人民共和国公职人员政务处分法》等有关规定，经省纪委常委会会议研究并报省委批准，决定给予刘扬开除党籍、开除公职处分；收缴其违纪违法所得；将其涉嫌犯罪问题移送检察机关依法审查起诉，所涉财物一并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7" w:lineRule="atLeast"/>
        <w:ind w:right="0"/>
        <w:jc w:val="both"/>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案例二</w:t>
      </w:r>
    </w:p>
    <w:p>
      <w:pPr>
        <w:rPr>
          <w:rFonts w:hint="default"/>
          <w:color w:val="auto"/>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44"/>
          <w:sz w:val="42"/>
          <w:szCs w:val="42"/>
          <w:shd w:val="clear" w:color="auto" w:fill="FFFFFF"/>
          <w:lang w:val="en-US" w:eastAsia="zh-CN" w:bidi="ar-SA"/>
        </w:rPr>
      </w:pPr>
      <w:r>
        <w:rPr>
          <w:rFonts w:hint="eastAsia" w:ascii="方正小标宋简体" w:hAnsi="方正小标宋简体" w:eastAsia="方正小标宋简体" w:cs="方正小标宋简体"/>
          <w:b w:val="0"/>
          <w:bCs w:val="0"/>
          <w:i w:val="0"/>
          <w:iCs w:val="0"/>
          <w:caps w:val="0"/>
          <w:color w:val="auto"/>
          <w:spacing w:val="0"/>
          <w:kern w:val="44"/>
          <w:sz w:val="42"/>
          <w:szCs w:val="42"/>
          <w:shd w:val="clear" w:color="auto" w:fill="FFFFFF"/>
          <w:lang w:val="en-US" w:eastAsia="zh-CN" w:bidi="ar-SA"/>
        </w:rPr>
        <w:t>教育部体育卫生与艺术教育司原司长王登峰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微软雅黑" w:hAnsi="微软雅黑" w:eastAsia="微软雅黑" w:cs="微软雅黑"/>
          <w:b w:val="0"/>
          <w:bCs w:val="0"/>
          <w:i w:val="0"/>
          <w:iCs w:val="0"/>
          <w:caps w:val="0"/>
          <w:color w:val="auto"/>
          <w:spacing w:val="0"/>
          <w:kern w:val="44"/>
          <w:sz w:val="42"/>
          <w:szCs w:val="42"/>
          <w:shd w:val="clear" w:color="auto" w:fill="FFFFFF"/>
          <w:lang w:val="en-US" w:eastAsia="zh-CN" w:bidi="ar-SA"/>
        </w:rPr>
      </w:pPr>
      <w:r>
        <w:rPr>
          <w:rFonts w:hint="eastAsia" w:ascii="方正小标宋简体" w:hAnsi="方正小标宋简体" w:eastAsia="方正小标宋简体" w:cs="方正小标宋简体"/>
          <w:b w:val="0"/>
          <w:bCs w:val="0"/>
          <w:i w:val="0"/>
          <w:iCs w:val="0"/>
          <w:caps w:val="0"/>
          <w:color w:val="auto"/>
          <w:spacing w:val="0"/>
          <w:kern w:val="44"/>
          <w:sz w:val="42"/>
          <w:szCs w:val="42"/>
          <w:shd w:val="clear" w:color="auto" w:fill="FFFFFF"/>
          <w:lang w:val="en-US" w:eastAsia="zh-CN" w:bidi="ar-SA"/>
        </w:rPr>
        <w:t>被“双开”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微软雅黑" w:hAnsi="微软雅黑" w:eastAsia="微软雅黑" w:cs="微软雅黑"/>
          <w:b w:val="0"/>
          <w:bCs w:val="0"/>
          <w:i w:val="0"/>
          <w:iCs w:val="0"/>
          <w:caps w:val="0"/>
          <w:color w:val="auto"/>
          <w:spacing w:val="0"/>
          <w:kern w:val="44"/>
          <w:sz w:val="42"/>
          <w:szCs w:val="42"/>
          <w:shd w:val="clear" w:color="auto" w:fill="FFFFFF"/>
          <w:lang w:val="en-US" w:eastAsia="zh-CN" w:bidi="ar-SA"/>
        </w:rPr>
      </w:pPr>
      <w:r>
        <w:rPr>
          <w:rFonts w:hint="eastAsia" w:ascii="方正楷体_GBK" w:hAnsi="方正楷体_GBK" w:eastAsia="方正楷体_GBK" w:cs="方正楷体_GBK"/>
          <w:i w:val="0"/>
          <w:iCs w:val="0"/>
          <w:caps w:val="0"/>
          <w:color w:val="auto"/>
          <w:spacing w:val="0"/>
          <w:sz w:val="32"/>
          <w:szCs w:val="32"/>
          <w:shd w:val="clear" w:color="auto" w:fill="FFFFFF"/>
          <w:lang w:val="en-US" w:eastAsia="zh-CN"/>
        </w:rPr>
        <w:t>来源：中央纪委国家监委网站 发布时间： 2023-03-31</w:t>
      </w:r>
      <w:r>
        <w:rPr>
          <w:rFonts w:hint="eastAsia" w:ascii="微软雅黑" w:hAnsi="微软雅黑" w:eastAsia="微软雅黑" w:cs="微软雅黑"/>
          <w:b w:val="0"/>
          <w:bCs w:val="0"/>
          <w:i w:val="0"/>
          <w:iCs w:val="0"/>
          <w:caps w:val="0"/>
          <w:color w:val="auto"/>
          <w:spacing w:val="0"/>
          <w:kern w:val="44"/>
          <w:sz w:val="42"/>
          <w:szCs w:val="42"/>
          <w:shd w:val="clear" w:color="auto" w:fill="FFFFFF"/>
          <w:lang w:val="en-US" w:eastAsia="zh-CN" w:bidi="ar-SA"/>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480" w:firstLineChars="20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微软雅黑" w:hAnsi="微软雅黑" w:eastAsia="微软雅黑" w:cs="微软雅黑"/>
          <w:i w:val="0"/>
          <w:iCs w:val="0"/>
          <w:caps w:val="0"/>
          <w:color w:val="auto"/>
          <w:spacing w:val="0"/>
          <w:sz w:val="24"/>
          <w:szCs w:val="24"/>
          <w:shd w:val="clear" w:color="auto" w:fill="FFFFFF"/>
        </w:rPr>
        <w:t>　</w:t>
      </w:r>
      <w:r>
        <w:rPr>
          <w:rFonts w:hint="eastAsia" w:ascii="仿宋" w:hAnsi="仿宋" w:eastAsia="仿宋" w:cs="仿宋"/>
          <w:i w:val="0"/>
          <w:iCs w:val="0"/>
          <w:caps w:val="0"/>
          <w:color w:val="auto"/>
          <w:spacing w:val="0"/>
          <w:sz w:val="32"/>
          <w:szCs w:val="32"/>
          <w:shd w:val="clear" w:color="auto" w:fill="FFFFFF"/>
        </w:rPr>
        <w:t>中央纪委国家监委网站讯 据中央纪委国家监委驻教育部纪检监察组、山东省纪委监委消息：日前，中央纪委国家监委驻教育部纪检监察组、山东省监察委员会对教育部体育卫生与艺术教育司原司长王登峰严重违纪违法问题进行了纪律审查和监察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经查，王登峰丧失理想信念，背弃初心使命，将贯彻落实党中央重大决策部署的工作职责异化为私人谋利工具，对党不忠诚不老实，表里不一，搞两面派，做两面人，销毁证据，对抗组织审查；无视中央八项规定精神，收受可能影响公正执行公务的礼金；违反组织原则，不如实报告个人有关事项；利用职务便利，为特定关系人谋取利益；违反规定将社会人员借调到体育卫生与艺术教育司工作；违反生活纪律；利用职务便利，采取侵吞、骗取等手段，非法占有公共财物；利用职务便利，为他人在项目承揽、赛事承办等方面谋取利益，并非法收受财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rPr>
        <w:t>王登峰严重违反党的政治纪律、中央八项规定精神、组织纪律、廉洁纪律、工作纪律和生活纪律，构成严重职务违法并涉嫌贪污、受贿犯罪，且在党的十八大后不收敛、不收手，甚至党的十九大后仍不知敬畏、不知止，性质严重，影响恶劣，应予严肃处理。依据《中国共产党纪律处分条例》《中华人民共和国监察法》《中华人民共和国公职人员政务处分法》等有关规定，经教育部党组研究，决定给予王登峰开除党籍处分；经中央纪委国家监委驻教育部纪检监察组研究，决定给予王登峰开除公职处分；收缴其违纪违法所得；山东省监察委员会已将其涉嫌犯罪问题移送检察机关依法审查起诉，所涉财物随案移送。</w:t>
      </w:r>
    </w:p>
    <w:p>
      <w:pPr>
        <w:rPr>
          <w:color w:val="auto"/>
        </w:rPr>
      </w:pPr>
    </w:p>
    <w:bookmarkEnd w:id="0"/>
    <w:sectPr>
      <w:headerReference r:id="rId3" w:type="default"/>
      <w:footerReference r:id="rId5" w:type="default"/>
      <w:headerReference r:id="rId4" w:type="even"/>
      <w:footerReference r:id="rId6" w:type="even"/>
      <w:pgSz w:w="11906" w:h="16838"/>
      <w:pgMar w:top="1701" w:right="1474" w:bottom="1134" w:left="1474" w:header="119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599" w:y="76"/>
      <w:ind w:firstLine="7700" w:firstLineChars="2750"/>
      <w:rPr>
        <w:rStyle w:val="8"/>
        <w:sz w:val="28"/>
        <w:szCs w:val="28"/>
      </w:rPr>
    </w:pPr>
    <w:r>
      <w:rPr>
        <w:rStyle w:val="8"/>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5</w:t>
    </w:r>
    <w:r>
      <w:rPr>
        <w:sz w:val="28"/>
        <w:szCs w:val="28"/>
      </w:rPr>
      <w:fldChar w:fldCharType="end"/>
    </w:r>
    <w:r>
      <w:rPr>
        <w:rStyle w:val="8"/>
        <w:rFonts w:hint="eastAsia"/>
        <w:sz w:val="28"/>
        <w:szCs w:val="28"/>
      </w:rPr>
      <w:t xml:space="preserve"> </w:t>
    </w:r>
    <w:r>
      <w:rPr>
        <w:rStyle w:val="8"/>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419" w:y="76"/>
      <w:ind w:firstLine="280" w:firstLineChars="100"/>
      <w:rPr>
        <w:rStyle w:val="8"/>
        <w:sz w:val="28"/>
        <w:szCs w:val="28"/>
      </w:rPr>
    </w:pPr>
    <w:r>
      <w:rPr>
        <w:rStyle w:val="8"/>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6</w:t>
    </w:r>
    <w:r>
      <w:rPr>
        <w:sz w:val="28"/>
        <w:szCs w:val="28"/>
      </w:rPr>
      <w:fldChar w:fldCharType="end"/>
    </w:r>
    <w:r>
      <w:rPr>
        <w:rStyle w:val="8"/>
        <w:rFonts w:hint="eastAsia"/>
        <w:sz w:val="28"/>
        <w:szCs w:val="28"/>
      </w:rPr>
      <w:t xml:space="preserve"> </w:t>
    </w:r>
    <w:r>
      <w:rPr>
        <w:rStyle w:val="8"/>
        <w:sz w:val="28"/>
        <w:szCs w:val="28"/>
      </w:rPr>
      <w:t>—</w:t>
    </w:r>
  </w:p>
  <w:p>
    <w:pPr>
      <w:pStyle w:val="3"/>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NmM5YjRjOGVlMTY1YTI5ZjZhOTQyOTk0OTZkMWEifQ=="/>
  </w:docVars>
  <w:rsids>
    <w:rsidRoot w:val="5E95747D"/>
    <w:rsid w:val="5E95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hAnsi="宋体"/>
      <w:b/>
      <w:kern w:val="44"/>
      <w:sz w:val="48"/>
      <w:szCs w:val="4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2023-04-17T04:29:00Z</dcterms:created>
  <dc:creator>Administrator</dc:creator>
  <cp:lastModifiedBy>Administrator</cp:lastModifiedBy>
  <dcterms:modified xsi:type="dcterms:W3CDTF">2023-04-17T04:31:59Z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1F8C16E6F75C42E5B09AD1FE01891378_11</vt:lpwstr>
  </property>
</Properties>
</file>