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05" w:rsidRDefault="00E84B05" w:rsidP="00E84B05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案例一</w:t>
      </w:r>
    </w:p>
    <w:p w:rsidR="00E84B05" w:rsidRPr="00E84B05" w:rsidRDefault="00E84B05" w:rsidP="00E84B05">
      <w:pPr>
        <w:spacing w:line="560" w:lineRule="exact"/>
        <w:rPr>
          <w:rFonts w:asciiTheme="minorEastAsia" w:eastAsiaTheme="minorEastAsia" w:hAnsiTheme="minorEastAsia"/>
          <w:color w:val="000000"/>
          <w:kern w:val="44"/>
          <w:shd w:val="clear" w:color="auto" w:fill="FFFFFF"/>
        </w:rPr>
      </w:pPr>
    </w:p>
    <w:p w:rsidR="00E84B05" w:rsidRPr="00E84B05" w:rsidRDefault="00E84B05" w:rsidP="00E84B05">
      <w:pPr>
        <w:autoSpaceDE w:val="0"/>
        <w:spacing w:line="700" w:lineRule="exact"/>
        <w:jc w:val="center"/>
        <w:outlineLvl w:val="1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E84B05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云南省昆明市呈贡区委常委、副区长刘晓航收受可能影响公正执行公务的高档烟酒问题</w:t>
      </w:r>
    </w:p>
    <w:p w:rsidR="00E84B05" w:rsidRDefault="00E84B05" w:rsidP="00E84B05">
      <w:pPr>
        <w:autoSpaceDE w:val="0"/>
        <w:spacing w:line="700" w:lineRule="exact"/>
        <w:jc w:val="center"/>
        <w:outlineLvl w:val="1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E84B05" w:rsidRPr="00E84B05" w:rsidRDefault="00E84B05" w:rsidP="00E84B05">
      <w:pPr>
        <w:autoSpaceDE w:val="0"/>
        <w:spacing w:line="600" w:lineRule="exact"/>
        <w:jc w:val="center"/>
        <w:outlineLvl w:val="1"/>
        <w:rPr>
          <w:rFonts w:ascii="楷体" w:eastAsia="楷体" w:hAnsi="楷体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E84B05">
        <w:rPr>
          <w:rFonts w:ascii="楷体" w:eastAsia="楷体" w:hAnsi="楷体" w:hint="eastAsia"/>
          <w:color w:val="222222"/>
          <w:spacing w:val="7"/>
          <w:kern w:val="0"/>
          <w:sz w:val="32"/>
          <w:szCs w:val="32"/>
          <w:shd w:val="clear" w:color="auto" w:fill="FFFFFF"/>
        </w:rPr>
        <w:t>发布时间：2022-05-27  来源：中央纪委国家监委网站</w:t>
      </w:r>
    </w:p>
    <w:p w:rsidR="00E84B05" w:rsidRPr="00E84B05" w:rsidRDefault="00E84B05" w:rsidP="00E84B05">
      <w:pPr>
        <w:ind w:firstLineChars="200" w:firstLine="668"/>
        <w:rPr>
          <w:rFonts w:ascii="仿宋" w:eastAsia="仿宋" w:hAnsi="仿宋" w:hint="eastAsia"/>
          <w:color w:val="000000"/>
          <w:kern w:val="44"/>
          <w:sz w:val="42"/>
          <w:szCs w:val="42"/>
          <w:shd w:val="clear" w:color="auto" w:fill="FFFFFF"/>
        </w:rPr>
      </w:pPr>
      <w:r w:rsidRPr="00E84B05">
        <w:rPr>
          <w:rFonts w:ascii="仿宋" w:eastAsia="仿宋" w:hAnsi="仿宋" w:hint="eastAsia"/>
          <w:color w:val="222222"/>
          <w:spacing w:val="7"/>
          <w:kern w:val="0"/>
          <w:sz w:val="32"/>
          <w:szCs w:val="32"/>
          <w:shd w:val="clear" w:color="auto" w:fill="FFFFFF"/>
        </w:rPr>
        <w:t>2014年至2021年，刘晓航在担任盘龙区住建局局长、盘龙区龙泉街道党工委书记、盘龙区副区长期间，多次收受某市政工程总公司项目负责人黄某某所送的高档香烟共35条、洋酒共4瓶，总价值2.91万元。2021年12月，刘晓航受到党内警告处分，违纪所得予以收缴。（云南省纪委监委）</w:t>
      </w:r>
    </w:p>
    <w:p w:rsidR="00E84B05" w:rsidRPr="00E84B05" w:rsidRDefault="00E84B05" w:rsidP="00E84B05">
      <w:pPr>
        <w:widowControl/>
        <w:autoSpaceDE w:val="0"/>
        <w:spacing w:line="760" w:lineRule="exact"/>
        <w:rPr>
          <w:rFonts w:ascii="仿宋" w:eastAsia="仿宋" w:hAnsi="仿宋" w:hint="eastAsia"/>
          <w:color w:val="000000"/>
          <w:kern w:val="44"/>
          <w:sz w:val="42"/>
          <w:szCs w:val="42"/>
          <w:shd w:val="clear" w:color="auto" w:fill="FFFFFF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lastRenderedPageBreak/>
        <w:t>案例二</w:t>
      </w:r>
    </w:p>
    <w:p w:rsidR="00E84B05" w:rsidRDefault="00E84B05" w:rsidP="00E84B05">
      <w:pPr>
        <w:autoSpaceDE w:val="0"/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E84B05" w:rsidRPr="00E84B05" w:rsidRDefault="00E84B05" w:rsidP="00E84B05">
      <w:pPr>
        <w:pStyle w:val="1"/>
        <w:widowControl/>
        <w:shd w:val="clear" w:color="auto" w:fill="FFFFFF"/>
        <w:autoSpaceDE w:val="0"/>
        <w:spacing w:before="0" w:beforeAutospacing="0" w:line="700" w:lineRule="exact"/>
        <w:jc w:val="center"/>
        <w:rPr>
          <w:rFonts w:ascii="方正小标宋简体" w:eastAsia="方正小标宋简体" w:hAnsi="微软雅黑" w:hint="eastAsia"/>
          <w:b w:val="0"/>
          <w:color w:val="000000"/>
          <w:sz w:val="44"/>
          <w:szCs w:val="44"/>
          <w:shd w:val="clear" w:color="auto" w:fill="FFFFFF"/>
        </w:rPr>
      </w:pPr>
      <w:r w:rsidRPr="00E84B05">
        <w:rPr>
          <w:rFonts w:ascii="方正小标宋简体" w:eastAsia="方正小标宋简体" w:hAnsi="微软雅黑" w:hint="eastAsia"/>
          <w:b w:val="0"/>
          <w:color w:val="000000"/>
          <w:sz w:val="44"/>
          <w:szCs w:val="44"/>
          <w:shd w:val="clear" w:color="auto" w:fill="FFFFFF"/>
        </w:rPr>
        <w:t>云南省永德县人民检察院原党组书记、检察长赵国平违规收受礼品、礼金问题</w:t>
      </w:r>
    </w:p>
    <w:p w:rsidR="00E84B05" w:rsidRDefault="00E84B05" w:rsidP="00E84B05">
      <w:pPr>
        <w:autoSpaceDE w:val="0"/>
        <w:spacing w:line="580" w:lineRule="exact"/>
        <w:jc w:val="center"/>
        <w:outlineLvl w:val="1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  <w:bookmarkStart w:id="0" w:name="_GoBack"/>
      <w:bookmarkEnd w:id="0"/>
    </w:p>
    <w:p w:rsidR="00E84B05" w:rsidRPr="00E84B05" w:rsidRDefault="00E84B05" w:rsidP="00E84B0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jc w:val="center"/>
        <w:outlineLvl w:val="0"/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</w:pPr>
      <w:r w:rsidRPr="00E84B05"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  <w:t>发布时间：2023-06-16  来源：中央纪委国家监委网站</w:t>
      </w:r>
    </w:p>
    <w:p w:rsidR="00451A33" w:rsidRPr="00E84B05" w:rsidRDefault="00E84B05" w:rsidP="00E84B05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68"/>
        <w:jc w:val="both"/>
        <w:outlineLvl w:val="0"/>
        <w:rPr>
          <w:rFonts w:ascii="仿宋" w:eastAsia="仿宋" w:hAnsi="仿宋"/>
          <w:color w:val="222222"/>
          <w:spacing w:val="7"/>
          <w:sz w:val="32"/>
          <w:szCs w:val="32"/>
          <w:shd w:val="clear" w:color="auto" w:fill="FFFFFF"/>
        </w:rPr>
      </w:pPr>
      <w:r w:rsidRPr="00E84B05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2013年至2021年，赵国平先后收受11名工程老板、管理和服务对象所送礼金8.3万元和香烟、白酒等礼品。赵国平还存在其他严重违纪违法问题，被开除党籍、开除公职，涉嫌犯罪问题被移送检察机关依法审查起诉。（云南省纪委监委）</w:t>
      </w:r>
    </w:p>
    <w:sectPr w:rsidR="00451A33" w:rsidRPr="00E84B05" w:rsidSect="00E84B0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05"/>
    <w:rsid w:val="00451A33"/>
    <w:rsid w:val="00E8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4B05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84B05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E84B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4B05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84B05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E84B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2023-06-19T02:03:00Z</dcterms:created>
  <dcterms:modified xsi:type="dcterms:W3CDTF">2023-06-19T02:07:00Z</dcterms:modified>
</cp:coreProperties>
</file>